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1073. “开学经济，文具也国潮”——开学季消费（文具、书包、电子设备）研究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研究对象：开学购物（文具/护脊书包/学习机）的学生与家长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核心问题/变量：开学消费构成（文具/教辅/智能设备）、国潮文具偏好、价格区间、学校要求（清单采购）、线上线下渠道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H1：开学消费构成（文具/教辅/智能设备）、国潮文具偏好显著影响线上线下渠道（待验证）；H2：不同人群（年龄/收入/城市等级）在上述关系中存在调节作用（待验证）。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🔶学生用品质量安全规范（市场监管总局）；🔶开学季消费数据（电商报告须下载核验）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商超/电商渠道问卷+家长访谈；获奖黑名单核对：近三年无开学消费获奖题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🔶学生用品质量安全规范（市场监管总局）；🔶开学季消费数据（电商报告须下载核验）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