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1074. “晚托班需求，谁接孩子放学”——小学生课后托管（晚托）服务消费研究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研究对象：双职工家庭（孩子小学）使用晚托/课后托管服务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核心问题/变量：晚托需求（接送/作业/晚餐）、晚托形式（学校延时vs机构）、费用（千元/月）、师资与安全、双减后市场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H1：晚托需求（接送/作业/晚餐）、晚托形式（学校延时vs机构）显著影响双减后市场（待验证）；H2：不同人群（年龄/收入/城市等级）在上述关系中存在调节作用（待验证）。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🔶课后服务与校外托管规范（教育部、市场监管总局）；🔶晚托市场数据（须下载核验）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托管机构渠道+家长问卷；获奖黑名单核对：近三年无晚托消费获奖题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🔶课后服务与校外托管规范（教育部、市场监管总局）；🔶晚托市场数据（须下载核验）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