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1075. “学生心理筛查，心理档案”——中小学生心理测评（建档）实施与家长态度研究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研究对象：经历学校心理筛查建档的学生与家长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核心问题/变量：心理测评频次与形式（量表）、测出预警处理（转介）、家长知晓与配合、隐私顾虑、学校心理教师配备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心理测评频次与形式（量表）、测出预警处理（转介）（学校心理教师配备）之间存在可检验的关系，且受群体差异（年龄/收入/地区/身份）调节（待验证）；H2：心理测评频次与形式（量表）、测出预警处理（转介）是影响学校心理教师配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🔶学生心理健康筛查政策（教育部）；🔶心理测评工具规范（心理学专业机构须下载核验）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学校渠道问卷+心理教师访谈；获奖黑名单核对：近三年无学生心理筛查获奖题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🔶学生心理健康筛查政策（教育部）；🔶心理测评工具规范（心理学专业机构须下载核验）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