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1076. “劳动课进校园，动手能力”——中小学劳动教育课程（烹饪、种植）实施研究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研究对象：劳动课（烹饪/手工/种植）学生与教师家长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核心问题/变量：劳动课课时与内容、校外基地（农庄/工坊）、劳动装备（围裙/工具）消费、家长支持度、技能与习惯培养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劳动课课时与内容、校外基地（农庄/工坊）（技能与习惯培养）之间存在可检验的关系，且受群体差异（年龄/收入/地区/身份）调节（待验证）；H2：劳动课课时与内容、校外基地（农庄/工坊）是影响技能与习惯培养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🔶劳动教育课程标准与政策（教育部）；🔶劳动教育实践案例（须下载核验）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学校渠道问卷+劳动基地访谈；获奖黑名单核对：近三年无劳动教育获奖题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🔶劳动教育课程标准与政策（教育部）；🔶劳动教育实践案例（须下载核验）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