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1078. “儿童阅读大计，分级阅读”——儿童分级阅读（分级读物）推广与消费研究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研究对象：为孩子选购分级读物的家长与阅读推广机构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核心问题/变量：分级阅读认知（按年龄/能力）、分级读物购买（绘本/桥梁书）、阅读习惯培养（亲子共读）、图书馆借阅、测评工具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分级阅读认知（按年龄/能力）、分级读物购买（绘本/桥梁书）（测评工具）之间存在可检验的关系，且受群体差异（年龄/收入/地区/身份）调节（待验证）；H2：分级阅读认知（按年龄/能力）、分级读物购买（绘本/桥梁书）是影响测评工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🔶全民阅读促进条例与儿童阅读政策（中宣部、教育部）；🔶分级阅读市场数据（须下载核验）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书店/图书馆问卷+出版机构访谈；获奖黑名单核对：近三年无儿童分级阅读获奖题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🔶全民阅读促进条例与儿童阅读政策（中宣部、教育部）；🔶分级阅读市场数据（须下载核验）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