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1079. “双减后素质教育，兴趣课花开”——双减后素质教育（艺术、体育、科创）消费研究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确定行业：12_教育与培训（选择理由：贴合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研究对象：报素质教育兴趣班（艺术/体育/创客）的小学生家庭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核心问题/变量：素质教育科目选择（美术/舞蹈/编程/棋类）、课包费用、每周课时量、成绩观转变（非学科）、续课与转机构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素质教育科目选择（美术/舞蹈/编程/棋类）、课包费用（续课与转机构）之间存在可检验的关系，且受群体差异（年龄/收入/地区/身份）调节（待验证）；H2：素质教育科目选择（美术/舞蹈/编程/棋类）、课包费用是影响续课与转机构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🔶双减政策与校外培训分类管理（教育部）；🔶素质教育市场数据（行业报告须下载核验）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素质机构渠道+家长问卷；获奖黑名单核对：近三年无双减素质教育获奖题（区别于595学科培训，聚焦非学科）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🔶双减政策与校外培训分类管理（教育部）；🔶素质教育市场数据（行业报告须下载核验）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