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113. “手机禁入校门，家校同心”——未成年人手机管理新政下家长态度与执行困境研究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建议地区：广州（可按省/市细化抽样框）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研究对象：中小学生家长（手机禁令涉及其子女）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核心问题/变量：政策知晓、支持度、执行方式（学校保管/家长配合）、矛盾点（联系不便/数字工具依赖）、改进建议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H1：政策知晓、支持度（改进建议）之间存在可检验的关系，且受群体差异（年龄/收入/地区/身份）调节（待验证）；H2：政策知晓、支持度是影响改进建议的关键因素（待验证）。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✅《重庆市预防未成年人犯罪条例》2026-09-01施行：学校可禁止学生携带手机入校（福建/广州/郑州已有类似规定）；✅教育部2025年重申"严禁将手机带入课堂"、鼓励"息屏行动"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学校家长群/社区渠道；政策刚落地话题热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✅《重庆市预防未成年人犯罪条例》2026-09-01施行：学校可禁止学生携带手机入校（福建/广州/郑州已有类似规定）；✅教育部2025年重申"严禁将手机带入课堂"、鼓励"息屏行动"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