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114. “AI通识进课堂，素养从娃娃抓起”——中小学AI教育课程、网络素养课程需求研究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 6—16 岁子女并使用网络娱乐的家长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核心问题/变量：未成年人模式知晓与体验、强制切换接受度、AI 服务使用顾虑、效果评价、教育期望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未成年人模式知晓与体验、强制切换接受度（教育期望）之间存在可检验的关系，且受群体差异（年龄/收入/地区/身份）调节（待验证）；H2：未成年人模式知晓与体验、强制切换接受度是影响教育期望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✅国家网信办2026年10月公布《国务院关于保障未成年人健康安全使用网络的规定(征求意见稿)》：未满16周岁使用网络游戏/直播/社交/AI服务须强制切换未成年人模式、平台须具备识别能力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家长社群渠道；政策窗口期选题加分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✅国家网信办2026年10月公布《国务院关于保障未成年人健康安全使用网络的规定(征求意见稿)》：未满16周岁使用网络游戏/直播/社交/AI服务须强制切换未成年人模式、平台须具备识别能力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