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1205. “课间15分钟，学生走出去”——中小学课间延长（15分钟）执行研究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研究对象：经历课间延长（10→15分钟）的中小学生与教师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核心问题/变量：课间延长政策（地方推行）、学生户外活动增加、教师拖堂问题、课间安全与监管、身心状态改善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间延长政策（地方推行）、学生户外活动增加（身心状态改善）之间存在可检验的关系，且受群体差异（年龄/收入/地区/身份）调节（待验证）；H2：课间延长政策（地方推行）、学生户外活动增加是影响身心状态改善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🔶课间休息与近视防控政策（教育部）；🔶课间改革报道（须下载核验）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中小学问卷+教育局访谈；获奖黑名单核对：近三年无课间延长获奖题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🔶课间休息与近视防控政策（教育部）；🔶课间改革报道（须下载核验）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