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1207. “大学生夜校，高校社交新场景”——大学生夜校（校园晚间课堂）参与研究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研究对象：参加高校夜校课程（兴趣/技能）的大学生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核心问题/变量：大学生夜校课程（书法/摄影/乐器）、晚间时间利用、低价课程消费（几十元）、社交破圈、与校外夜校对比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大学生夜校课程（书法/摄影/乐器）、晚间时间利用（与校外夜校对比）之间存在可检验的关系，且受群体差异（年龄/收入/地区/身份）调节（待验证）；H2：大学生夜校课程（书法/摄影/乐器）、晚间时间利用是影响与校外夜校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🔶高校第二课堂与美育政策（教育部、共青团中央）；🔶高校夜校案例（须下载核验）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高校夜校问卷+团委访谈；获奖黑名单核对：近三年无大学生夜校获奖题（区别于725/958/1114夜校，聚焦高校场景）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🔶高校第二课堂与美育政策（教育部、共青团中央）；🔶高校夜校案例（须下载核验）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