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1208. “科学教育加法，实验课回归”——科学教育（实验、科创课程）中小学实施研究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研究对象：中小学科学教育（实验课/科创社团）师生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核心问题/变量：科学教育强化（教育部试点区）、实验课开课率、科创设备（实验室/教具）、科学教师缺口、学生科学素养兴趣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科学教育强化（教育部试点区）、实验课开课率（学生科学素养兴趣）之间存在可检验的关系，且受群体差异（年龄/收入/地区/身份）调节（待验证）；H2：科学教育强化（教育部试点区）、实验课开课率是影响学生科学素养兴趣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🔶中小学科学教育行动政策（教育部）；🔶科学教育试点区数据（须下载核验）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试点校问卷+教研部门访谈；获奖黑名单核对：近三年无科学教育加法获奖题（区别于926科学课，聚焦实验科创强化）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🔶中小学科学教育行动政策（教育部）；🔶科学教育试点区数据（须下载核验）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