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1210. “作业熔断机制，晚上10点不写作业”——学生作业熔断（睡眠保护）制度研究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研究对象：实行作业熔断机制（晚上10点停写）的学生与家长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核心问题/变量：作业熔断机制（地方试点）、作业量负担、睡眠时间保障、家长签字执行、教师作业设计、落地效果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作业熔断机制（地方试点）、作业量负担（落地效果）之间存在可检验的关系，且受群体差异（年龄/收入/地区/身份）调节（待验证）；H2：作业熔断机制（地方试点）、作业量负担是影响落地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🔶作业管理政策（教育部）；🔶作业熔断试点报道（须下载核验）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中小学问卷+教育局访谈；获奖黑名单核对：近三年无作业熔断获奖题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🔶作业管理政策（教育部）；🔶作业熔断试点报道（须下载核验）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