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134. “课间十五分钟，快乐校园”——延长课间新政的家长与师生反馈研究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研究对象：中小学生、家长、教师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核心问题/变量：课间延长至 15 分钟新政知晓度、实施落地情况、学生活动参与、家长满意度、教师负担感知、对视力/体质影响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H1：课间延长至 15 分钟新政知晓度、实施落地情况（对视力/体质影响）之间存在可检验的关系，且受群体差异（年龄/收入/地区/身份）调节（待验证）；H2：课间延长至 15 分钟新政知晓度、实施落地情况是影响对视力/体质影响的关键因素（待验证）。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✅多地延长课间至 15 分钟政策文件与报道（教育部、央媒）；🔶实施效果调查（须下载核验）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中小学渠道问卷+教师访谈；与113（手机管理）区分：聚焦课间时长与活动安排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✅多地延长课间至 15 分钟政策文件与报道（教育部、央媒）；🔶实施效果调查（须下载核验）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