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016. “AI助学，边界何在”——大学生生成式人工智能学习工具使用行为与依赖风险研究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研究对象：本科生和研究生。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核心问题/变量：使用频率、使用任务、自我效能、学习效率、依赖风险、学术规范认知。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H1：使用频率、使用任务（学术规范认知。）之间存在可检验的关系，且受群体差异（年龄/收入/地区/身份）调节（待验证）；H2：使用频率、使用任务是影响学术规范认知。的关键因素（待验证）。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S7，2026 年中国 AIGC 应用研究报告；S4，高校改革政策。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高校分层抽样；可使用结构方程或潜在类别分析。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S7，2026 年中国 AIGC 应用研究报告；S4，高校改革政策。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