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018. “AI进课堂，教师怎么用”——教师对生成式人工智能备课工具的采纳意愿研究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研究对象：中小学教师、职业院校教师或高校教师，建议只选一类。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核心问题/变量：备课负担、感知有用性、内容可靠性、职业替代担忧、学校支持。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H1：备课负担、感知有用性（学校支持。）之间存在可检验的关系，且受群体差异（年龄/收入/地区/身份）调节（待验证）；H2：备课负担、感知有用性是影响学校支持。的关键因素（待验证）。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S7，AIGC 应用报告；S4，教育改革相关政策。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教师访谈+问卷；可采用 UTAUT 模型。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S7，AIGC 应用报告；S4，教育改革相关政策。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