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019. “数字校园，服务重构”——高校学生对 AI 校园服务的需求与使用意愿研究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研究阶段：early（早期：需求调查与市场机会挖掘）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确定行业：12_教育与培训（选择理由：贴合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研究对象：高校学生。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核心问题/变量：AI 校园客服、智能排课、学习服务、就业服务、隐私、安全、使用意愿。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H1：AI 校园客服、智能排课（使用意愿。）之间存在可检验的关系，且受群体差异（年龄/收入/地区/身份）调节（待验证）；H2：AI 校园客服、智能排课是影响使用意愿。的关键因素（待验证）。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S4，高校改革政策；S7，AIGC 应用研究报告。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一所高校内做年级、专业和学历层次比较。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S4，高校改革政策；S7，AIGC 应用研究报告。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