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264. “留学中介，值不值”——出国留学消费与留学中介服务满意度研究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研究对象：准备出国或已回国的学生及其家庭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核心问题/变量：留学动机、中介选择、费用（申请/语言/学费）、信息透明度、满意度、性价比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H1：留学动机、中介选择（性价比）之间存在可检验的关系，且受群体差异（年龄/收入/地区/身份）调节（待验证）；H2：留学动机、中介选择是影响性价比的关键因素（待验证）。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🔶留学市场规模（启德/新东方报告需下载）；✅教育部留学政策背景；✅"留学热"与"归国潮"（媒体🔶）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留学机构/校园国际部渠道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🔶留学市场规模（启德/新东方报告需下载）；✅教育部留学政策背景；✅"留学热"与"归国潮"（媒体🔶）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