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299. “毕业季经济，青春定格”——毕业季消费（毕业照、旅行、聚会、纪念品）行为研究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研究对象：近两年毕业的高校毕业生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核心问题/变量：毕业消费项目、人均支出、仪式感动机、家庭支持、消费理性反思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H1：毕业消费项目、人均支出显著影响消费理性反思（待验证）；H2：不同人群（年龄/收入/城市等级）在上述关系中存在调节作用（待验证）。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🔶毕业季消费（媒体每年报道）；✅高校毕业生规模（教育部数据🔶）；✅"仪式感消费"趋势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高校毕业季渠道；贴近评委（大学生群体）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🔶毕业季消费（媒体每年报道）；✅高校毕业生规模（教育部数据🔶）；✅"仪式感消费"趋势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