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029. “高校改革，学生怎么看”——高校分类改革背景下学生对实践教学与就业服务的需求研究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研究对象：本科生、研究生和毕业年级学生。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核心问题/变量：实践课程满意度、校企合作、就业指导、科研机会、专业认同。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H1：实践课程满意度、校企合作（专业认同。）之间存在可检验的关系，且受群体差异（年龄/收入/地区/身份）调节（待验证）；H2：实践课程满意度、校企合作是影响专业认同。的关键因素（待验证）。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S4，《关于分类推进高校改革的意见》；S1，赛事强调实践调查能力。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一所高校内做年级、专业和学历层次比较。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S4，《关于分类推进高校改革的意见》；S1，赛事强调实践调查能力。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