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311. “AI 代写论文，学术红线”——高校学生 AI 写作工具使用与学术诚信治理研究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研究对象：高校本硕博学生、教师与教务管理者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 写作工具使用率与场景、学术诚信认知、学校 AIGC 使用规定知晓度、检测与处理态度、合理使用边界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 写作工具使用率与场景、学术诚信认知（合理使用边界）之间存在可检验的关系，且受群体差异（年龄/收入/地区/身份）调节（待验证）；H2：AI 写作工具使用率与场景、学术诚信认知是影响合理使用边界的关键因素（待验证）。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✅高校与教育部 AIGC 学术使用规定（官方文件、权威媒体）；🔶学生 AI 使用情况调研（须下载核验）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高校学生问卷+教师访谈；与016（AI助学）区分：聚焦学术诚信与制度治理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✅高校与教育部 AIGC 学术使用规定（官方文件、权威媒体）；🔶学生 AI 使用情况调研（须下载核验）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