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350. “琴童的周末，艺术考级”——少儿艺术培训（美术、乐器、舞蹈考级）消费研究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研究对象：给孩子报艺术培训的家长（4—12岁）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核心问题/变量：报班动机（考级/兴趣/升学）、课程费用、课时安排、考级热态度、双减后变化、满意度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报班动机（考级/兴趣/升学）、课程费用（满意度）之间存在可检验的关系，且受群体差异（年龄/收入/地区/身份）调节（待验证）；H2：报班动机（考级/兴趣/升学）、课程费用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🔶艺术培训市场（双减后行业报告需下载）；✅K12素质教育培训政策（"双减"后利好素养类背景）；✅美育政策（教育部"美育纳入中考"讨论🔶）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培训机构/学校渠道；与225题（体适能）、261-265（阅读教育）区分：聚焦艺术考级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🔶艺术培训市场（双减后行业报告需下载）；✅K12素质教育培训政策（"双减"后利好素养类背景）；✅美育政策（教育部"美育纳入中考"讨论🔶）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