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400. “老手艺体验课，非遗新传承”——非遗、老字号技艺体验研学消费研究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研究对象：参加过非遗技艺/老字号手作体验课（制茶/制香/糕点）的消费者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核心问题/变量：体验课动机（亲子/社交/文化）、课程价格、沉浸感评价、作品留存、家庭/亲子参与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体验课动机（亲子/社交/文化）、课程价格（家庭/亲子参与）之间存在可检验的关系，且受群体差异（年龄/收入/地区/身份）调节（待验证）；H2：体验课动机（亲子/社交/文化）、课程价格是影响家庭/亲子参与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🔶非遗体验研学（文化和旅游部非遗旅游政策需核验）；✅"非遗+旅游"融合政策背景；✅研学游2亿人次（已核验）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非遗体验馆/老字号工坊渠道；与227题（文创购买）区分：聚焦手作体验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🔶非遗体验研学（文化和旅游部非遗旅游政策需核验）；✅"非遗+旅游"融合政策背景；✅研学游2亿人次（已核验）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