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410. “财商第一课，校园理财教育”——大学生财商教育与理财消费研究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研究对象：在校大学生（有生活费管理/理财经历）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核心问题/变量：理财知识来源、生活费规划、校园贷风险认知、基金/黄金等产品接触、财商课程需求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H1：理财知识来源、生活费规划（财商课程需求）之间存在可检验的关系，且受群体差异（年龄/收入/地区/身份）调节（待验证）；H2：理财知识来源、生活费规划是影响财商课程需求的关键因素（待验证）。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✅大学生消费金融45%用于发展型支出（第九轮证据）；🔶校园财商教育（央行"金融知识进校园"活动）；✅《防范校园贷风险》监管（背景）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高校渠道（样本易得）；评委关注青年教育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✅大学生消费金融45%用于发展型支出（第九轮证据）；🔶校园财商教育（央行"金融知识进校园"活动）；✅《防范校园贷风险》监管（背景）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