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436. “红色研学，青春打卡”——红色旅游、红色研学消费行为研究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研究对象：参加过红色旅游/红色研学（旧址/纪念馆/重走长征）的学生及家长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核心问题/变量：参与形式（党团活动/亲子研学）、内容吸引力（沉浸式/讲解）、花费、教育获得感、创新期待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形式（党团活动/亲子研学）、内容吸引力（沉浸式/讲解）（创新期待）之间存在可检验的关系，且受群体差异（年龄/收入/地区/身份）调节（待验证）；H2：参与形式（党团活动/亲子研学）、内容吸引力（沉浸式/讲解）是影响创新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🔶红色旅游规模（文旅部数据需核验）；✅建党百年红色旅游政策（中办国办文件背景）；✅研学游2亿人次（已核验）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红色景区/学校党团渠道；政策热点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🔶红色旅游规模（文旅部数据需核验）；✅建党百年红色旅游政策（中办国办文件背景）；✅研学游2亿人次（已核验）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