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441. “AI 心理老师进校园”——中小学生心理健康 AI 工具的使用与信任研究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研究对象：中小学生、家长、心理教师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核心问题/变量：校园 AI 心理测评/对话工具知晓度、使用意愿、隐私顾虑、对人工咨询的替代或补充、家校接受度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H1：校园 AI 心理测评/对话工具知晓度、使用意愿（家校接受度）之间存在可检验的关系，且受群体差异（年龄/收入/地区/身份）调节（待验证）；H2：校园 AI 心理测评/对话工具知晓度、使用意愿是影响家校接受度的关键因素（待验证）。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✅学生心理健康教育政策（教育部等文件）；🔶AI 心理健康应用案例（权威媒体，须下载核验）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学校/机构渠道问卷+教师访谈；与254（成人心理自助）区分：聚焦校园未成年人场景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✅学生心理健康教育政策（教育部等文件）；🔶AI 心理健康应用案例（权威媒体，须下载核验）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