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447. “技能证书，敲门砖还是智商税”——职业技能等级证书报考与就业价值研究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研究对象：报考过职业技能等级证书（健康管理师/电工/保育员等）的考生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核心问题/变量：报考动机、培训费用、考证通过率、证书对就业帮助、防骗经历、投入产出评价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H1：报考动机、培训费用（投入产出评价）之间存在可检验的关系，且受群体差异（年龄/收入/地区/身份）调节（待验证）；H2：报考动机、培训费用是影响投入产出评价的关键因素（待验证）。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✅技能人才评价体系改革（人社部备案第三方发证）；✅证书全国联网可查（第十三轮证据）；🔶职业技能培训市场规模（行业报告需核验）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职业培训机构/人社部门备案机构渠道；与375题（考证经济）区分：聚焦等级认定制度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✅技能人才评价体系改革（人社部备案第三方发证）；✅证书全国联网可查（第十三轮证据）；🔶职业技能培训市场规模（行业报告需核验）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