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448. “市民艺术夜校，成人美育”——市民艺术夜校、成人美育课程消费研究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建议地区：上海（可按省/市细化抽样框）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研究对象：报名市民艺术夜校/成人兴趣班（乐器/舞蹈/美术）的上班族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核心问题/变量：报名动机（兴趣/解压/社交）、课程费用（普惠定价）、抢课难、学习坚持率、获得感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报名动机（兴趣/解压/社交）、课程费用（普惠定价）（获得感）之间存在可检验的关系，且受群体差异（年龄/收入/地区/身份）调节（待验证）；H2：报名动机（兴趣/解压/社交）、课程费用（普惠定价）是影响获得感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🔶市民艺术夜校"一课难求"（上海等城市媒体报道需引原文）；✅公共文化服务均等化（文化部政策背景）；✅情绪消费与悦己（已核验）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市民夜校渠道（上海市民艺术夜校模式）；与91题（青年夜校）区分：聚焦艺术美育供给侧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🔶市民艺术夜校"一课难求"（上海等城市媒体报道需引原文）；✅公共文化服务均等化（文化部政策背景）；✅情绪消费与悦己（已核验）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