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500. “新年Flag，仪式感与行动力”——年度规划、新年仪式消费（手账、计划本、目标打卡）研究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研究对象：做年度计划/立Flag（手账/App打卡/习惯养成）的 18—35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核心问题/变量：计划方式（手账/App）、Flag类型（学习/健身/存钱）、执行率、打卡社群、仪式感消费、复盘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H1：计划方式（手账/App）、Flag类型（学习/健身/存钱）显著影响复盘（待验证）；H2：不同人群（年龄/收入/城市等级）在上述关系中存在调节作用（待验证）。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🔶"新年Flag"社交媒体现象；✅手账消费（413题衔接）；✅"悦己与成长消费"（情绪经济已核验）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线上问卷+手账社群；收官收官题，呼应"全程指导"定位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🔶"新年Flag"社交媒体现象；✅手账消费（413题衔接）；✅"悦己与成长消费"（情绪经济已核验）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