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591. “研学导师，行走的课堂”——研学旅行导师服务消费研究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确定行业：12_教育与培训（选择理由：贴合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研究对象：报名研学营的家长、研学机构与导师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核心问题/变量：研学营选择标准（安全/课程/导师）、研学导师资质信任、研学价格敏感、家长满意度、行业规范期待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研学营选择标准（安全/课程/导师）、研学导师资质信任（行业规范期待）之间存在可检验的关系，且受群体差异（年龄/收入/地区/身份）调节（待验证）；H2：研学营选择标准（安全/课程/导师）、研学导师资质信任是影响行业规范期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✅研学旅行规范政策（教育部、文旅部）；🔶研学市场规模（行业报告须下载核验）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研学机构渠道+家长问卷；区别于78（研学旅行总体）聚焦导师端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✅研学旅行规范政策（教育部、文旅部）；🔶研学市场规模（行业报告须下载核验）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