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593. “暑期托管，谁来带娃”——职工子女暑期托管服务需求研究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研究对象：双职工家庭家长、提供托管的企业/社区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核心问题/变量：暑期托管需求强度、托管内容偏好（作业/兴趣/照护）、费用接受度、单位托管vs市场化、安全信任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暑期托管需求强度、托管内容偏好（作业/兴趣/照护）（安全信任）之间存在可检验的关系，且受群体差异（年龄/收入/地区/身份）调节（待验证）；H2：暑期托管需求强度、托管内容偏好（作业/兴趣/照护）是影响安全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✅职工子女托管服务政策（全国总工会）；🔶暑期托管发展数据（须下载核验）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工会/社区渠道问卷+托管机构访谈；区别于083（0-3托育）聚焦学龄暑期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✅职工子女托管服务政策（全国总工会）；🔶暑期托管发展数据（须下载核验）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