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618. “高考志愿规划师，万元咨询值不值”——高考志愿规划咨询消费研究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研究对象：购买志愿填报咨询/规划服务的高考生家庭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核心问题/变量：咨询服务价格与内容、决策影响、机构资质信任、信息差焦虑、与免费工具对比、满意度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H1：咨询服务价格与内容、决策影响（满意度）之间存在可检验的关系，且受群体差异（年龄/收入/地区/身份）调节（待验证）；H2：咨询服务价格与内容、决策影响是影响满意度的关键因素（待验证）。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🔶高考志愿规划市场报道（媒体须下载核验）；✅高考改革政策（教育部）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高考生家长社群问卷+机构访谈；获奖黑名单核对：近三年无志愿规划获奖题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🔶高考志愿规划市场报道（媒体须下载核验）；✅高考改革政策（教育部）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