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671. “英文分级阅读，刷出来的英语”——儿童英语分级阅读消费研究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研究对象：为孩子做英语分级阅读（RAZ/牛津树类）的家长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核心问题/变量：分级阅读认知与选择、纸质vs电子（墨水平台）、年投入（图书/课程）、效果感知（词汇/兴趣）、坚持度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分级阅读认知与选择、纸质vs电子（墨水平台）（坚持度）之间存在可检验的关系，且受群体差异（年龄/收入/地区/身份）调节（待验证）；H2：分级阅读认知与选择、纸质vs电子（墨水平台）是影响坚持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🔶少儿英语分级阅读市场报告（行业报告须下载核验）；✅英语学习与双减政策（教育部）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家长社群问卷+阅读平台访谈；获奖黑名单核对：近三年无分级阅读获奖题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🔶少儿英语分级阅读市场报告（行业报告须下载核验）；✅英语学习与双减政策（教育部）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