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709. “少儿编程课，报还是不报”——少儿编程培训消费与家长决策研究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研究对象：为孩子报编程课的家长（K12）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核心问题/变量：报课动机（升学/逻辑思维/跟风）、课程价格与课时、scratch/python选择、机构信任（拔苗助长争议）、效果感知、续报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报课动机（升学/逻辑思维/跟风）、课程价格与课时（续报）之间存在可检验的关系，且受群体差异（年龄/收入/地区/身份）调节（待验证）；H2：报课动机（升学/逻辑思维/跟风）、课程价格与课时是影响续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🔶少儿编程市场报告（行业报告须下载核验）；✅双减政策与素质教育培训监管（教育部）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家长社群问卷+机构访谈；获奖黑名单核对：近三年无少儿编程获奖题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🔶少儿编程市场报告（行业报告须下载核验）；✅双减政策与素质教育培训监管（教育部）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