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723. “老年电子琴班，老有所乐”——中老年器乐、音乐培训消费研究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研究对象：报名老年大学/机构器乐班（电子琴/葫芦丝/合唱）的老年人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核心问题/变量：器乐培训动机（圆梦/社交/康养）、课时费与教材、集体课社交价值、演出展示机会、续课留存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器乐培训动机（圆梦/社交/康养）、课时费与教材（续课留存）之间存在可检验的关系，且受群体差异（年龄/收入/地区/身份）调节（待验证）；H2：器乐培训动机（圆梦/社交/康养）、课时费与教材是影响续课留存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🔶老年音乐培训报道（媒体须下载核验）；✅老年教育政策（教育部）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老年大学/机构渠道问卷；获奖黑名单核对：近三年无老年器乐获奖题（区别于594老年教育泛题）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🔶老年音乐培训报道（媒体须下载核验）；✅老年教育政策（教育部）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