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787. “青少年体适能课，体育培训火”——青少年体适能、中考体育培训消费研究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研究对象：给孩子报体适能/中考体育培训的家长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核心问题/变量：报课动机（中考提分/体质/兴趣）、课程与教练、价格、中考体育改革影响、训练效果、续报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报课动机（中考提分/体质/兴趣）、课程与教练（续报）之间存在可检验的关系，且受群体差异（年龄/收入/地区/身份）调节（待验证）；H2：报课动机（中考提分/体质/兴趣）、课程与教练是影响续报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🔶青少年体育培训市场数据（行业报告须下载核验）；✅中考体育改革与双减政策（教育部）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体育机构渠道问卷+教练访谈；获奖黑名单核对：近三年无体适能培训获奖题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🔶青少年体育培训市场数据（行业报告须下载核验）；✅中考体育改革与双减政策（教育部）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