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809. “冷门专业就业，翻身还是翻车”——冷门专业（考古、哲学、水产）选择与就业研究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确定行业：12_教育与培训（选择理由：贴合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研究对象：就读及毕业于“冷门”专业的在校生与毕业生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核心问题/变量：冷门专业选择动机（兴趣/调剂/分数）、就业方向（考编/转行/深造）、薪资落差、家人态度、专业价值再评价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冷门专业选择动机（兴趣/调剂/分数）、就业方向（考编/转行/深造）（专业价值再评价）之间存在可检验的关系，且受群体差异（年龄/收入/地区/身份）调节（待验证）；H2：冷门专业选择动机（兴趣/调剂/分数）、就业方向（考编/转行/深造）是影响专业价值再评价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🔶冷门专业就业数据（教育部就业报告须下载核验）；✅本科专业结构调整政策（教育部）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高校渠道问卷+就业中心访谈；获奖黑名单核对：近三年无冷门专业获奖题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🔶冷门专业就业数据（教育部就业报告须下载核验）；✅本科专业结构调整政策（教育部）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