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091. “夜校经济，青年充电”——青年夜校参与动机、持续意愿与商圈带动研究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研究对象：参加过或有意向参加青年夜校/市民夜校的 18—40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核心问题/变量：参与动机（兴趣/社交/职业技能）、课程偏好、付费意愿、持续参与、夜校带动商圈消费情况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H1：参与动机（兴趣/社交/职业技能）、课程偏好显著影响夜校带动商圈消费情况（待验证）；H2：不同人群（年龄/收入/城市等级）在上述关系中存在调节作用（待验证）。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超200城推出青年夜校（群众网）；✅2025年上海951个夜校/2600门课程/覆盖15万人次（上观）；✅上海市民艺术夜校报名1分钟抢光71门课（澎湃）；✅每课普惠定价50—80元、纳入上海2026为民办实事（百度百科）；✅浦东团区委《青年夜校与青春经济转换路径研究》：夜校与商业街区深度融合、学习场景转化为消费场景（上海市政府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夜校点位（党群服务中心/青年中心/文化馆）现场问卷；特色在于"学习场景转消费场景"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超200城推出青年夜校（群众网）；✅2025年上海951个夜校/2600门课程/覆盖15万人次（上观）；✅上海市民艺术夜校报名1分钟抢光71门课（澎湃）；✅每课普惠定价50—80元、纳入上海2026为民办实事（百度百科）；✅浦东团区委《青年夜校与青春经济转换路径研究》：夜校与商业街区深度融合、学习场景转化为消费场景（上海市政府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