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924. “课间15分钟，把课间还给孩子”——课间休息时间改革（延长课间）研究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研究对象：经历课间延长（15分钟）的中小学师生与家长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核心问题/变量：课间延长政策知晓、学生活动（户外/游戏）、教师看护负担、安全顾虑（追逐打闹）、家长支持度、效果感知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间延长政策知晓、学生活动（户外/游戏）（效果感知）之间存在可检验的关系，且受群体差异（年龄/收入/地区/身份）调节（待验证）；H2：课间延长政策知晓、学生活动（户外/游戏）是影响效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🔶课间休息时间政策（教育部）；🔶课间15分钟实践报道（须下载核验）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学校渠道问卷+师生访谈；获奖黑名单核对：近三年无课间改革获奖题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🔶课间休息时间政策（教育部）；🔶课间15分钟实践报道（须下载核验）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