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957. “编程进中考，信息素养”——信息科技课程（编程）进中高考评价研究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研究对象：经历信息科技课程改革（编程纳入）的中学生与家长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核心问题/变量：编程课程内容（图形化/Python）、中高考评价改革感知、校外编程培训联动、学习负担、师资缺口、家长态度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编程课程内容（图形化/Python）、中高考评价改革感知（家长态度）之间存在可检验的关系，且受群体差异（年龄/收入/地区/身份）调节（待验证）；H2：编程课程内容（图形化/Python）、中高考评价改革感知是影响家长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🔶信息科技课程标准（教育部）；🔶编程教育进校报道（须下载核验）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中学渠道问卷+教研员访谈；获奖黑名单核对：近三年无编程进中考获奖题（区别于709少儿编程培训）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🔶信息科技课程标准（教育部）；🔶编程教育进校报道（须下载核验）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