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1026. “儿童防晒，娇嫩肌肤”——儿童防晒护肤品（家长选购）消费研究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确定行业：17_美妆服饰与珠宝（选择理由：贴合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研究对象：为孩子选购防晒/儿童护肤品的家长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核心问题/变量：儿童防晒需求（户外/游泳）、安全性关注（成分/年龄限制）、儿童专用vs成人替代、过敏经历、品牌信任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H1：儿童防晒需求（户外/游泳）、安全性关注（成分/年龄限制）显著影响品牌信任（待验证）；H2：不同人群（年龄/收入/城市等级）在上述关系中存在调节作用（待验证）。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🔶儿童化妆品监管规定（药监局）；🔶儿童护肤市场数据（行业报告须下载核验）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母婴社群问卷+儿童护肤品牌访谈；获奖黑名单核对：近三年无儿童防晒获奖题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🔶儿童化妆品监管规定（药监局）；🔶儿童护肤市场数据（行业报告须下载核验）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