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1249. “早C晚A护肤公式，成分党进阶”——成分党护肤（早C晚A）知识消费研究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研究对象：按早C晚A/成分论护肤的“成分党”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核心问题/变量：护肤成分知识（维C/维A/烟酰胺）、成分购买决策、翻车经历（烂脸）、皮肤科医生认同、国货成分对抗、消费金额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H1：护肤成分知识（维C/维A/烟酰胺）、成分购买决策显著影响消费金额（待验证）；H2：不同人群（年龄/收入/城市等级）在上述关系中存在调节作用（待验证）。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🔶化妆品功效宣称规范（药监局）；🔶成分护肤市场数据（须下载核验）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护肤社群问卷+成分党KOL访谈；获奖黑名单核对：近三年无早C晚A获奖题（区别于591成分党泛题，聚焦配方搭配实践）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🔶化妆品功效宣称规范（药监局）；🔶成分护肤市场数据（须下载核验）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