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1250. “美甲经济，指尖上的生意”——美甲（门店、穿戴甲）消费研究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研究对象：定期做美甲/穿戴甲的女性消费者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核心问题/变量：美甲频次与单价（98-398）、穿戴甲流行（DIY/回购）、美甲店选择（团购）、款式更新（换甲）、卫生安全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H1：美甲频次与单价（98-398）、穿戴甲流行（DIY/回购）显著影响卫生安全（待验证）；H2：不同人群（年龄/收入/城市等级）在上述关系中存在调节作用（待验证）。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🔶美甲行业卫生与服务规范（卫健、市场监管部门）；🔶美甲市场规模（行业报告须下载核验）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美甲店问卷+消费者访谈；获奖黑名单核对：近三年无美甲消费获奖题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🔶美甲行业卫生与服务规范（卫健、市场监管部门）；🔶美甲市场规模（行业报告须下载核验）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