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1291. “口红效应，低价悦己美妆”——口红效应（低价美妆消费）研究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研究对象：经济压力期进行口红/低价美妆消费的女性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核心问题/变量：口红效应（低价悦己）、经济波动下美妆消费（口红替代大件）、平替国货、美妆消费降级与升级、情绪购买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H1：口红效应（低价悦己）、经济波动下美妆消费（口红替代大件）显著影响情绪购买（待验证）；H2：不同人群（年龄/收入/城市等级）在上述关系中存在调节作用（待验证）。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🔶化妆品消费与国货美妆数据（行业报告须下载核验）；✅化妆品生产经营规范（药监局）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美妆消费者问卷+美妆渠道访谈；获奖黑名单核对：近三年无口红效应获奖题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🔶化妆品消费与国货美妆数据（行业报告须下载核验）；✅化妆品生产经营规范（药监局）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