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1292. “妈妈妆造，中年女性美妆觉醒”——中年女性美妆（妈妈辈觉醒）消费研究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研究对象：开始化妆/提升美妆的中年女性（40-60岁）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核心问题/变量：中年女性美妆需求（抗老/气色）、妈妈妆造（子女带动）、美妆教学（适老美妆博主）、产品适老化（遮瑕/提拉）、投入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H1：中年女性美妆需求（抗老/气色）、妈妈妆造（子女带动）显著影响投入（待验证）；H2：不同人群（年龄/收入/城市等级）在上述关系中存在调节作用（待验证）。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🔶化妆品适老化与银发美妆数据（行业报告须下载核验）；✅化妆品监管规范（药监局）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中年女性问卷+美妆品牌访谈；获奖黑名单核对：近三年无中年女性美妆获奖题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🔶化妆品适老化与银发美妆数据（行业报告须下载核验）；✅化妆品监管规范（药监局）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