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1293. “黄金手镯传承，妈传女儿”——黄金首饰（传家、传承）消费研究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研究对象：购买黄金首饰用于传承（母女/婚嫁）的家庭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核心问题/变量：黄金传承消费（嫁妆/传家）、金饰保值属性、传承仪式感、款式（古法金/国潮）、购买时机（金价高位）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H1：黄金传承消费（嫁妆/传家）、金饰保值属性显著影响购买时机（金价高位）（待验证）；H2：不同人群（年龄/收入/城市等级）在上述关系中存在调节作用（待验证）。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🔶黄金首饰消费数据（中国黄金协会须下载核验）；✅黄金饰品质量规范（市场监管总局）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金店渠道+消费者问卷；获奖黑名单核对：近三年无黄金传承获奖题（区别于1160黄金消费泛题、407/866黄金投资回收，聚焦传承场景）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🔶黄金首饰消费数据（中国黄金协会须下载核验）；✅黄金饰品质量规范（市场监管总局）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