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1300. “香氛经济，情绪香薰”——香氛（香薰、香水）情绪消费研究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确定行业：17_美妆服饰与珠宝（选择理由：贴合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研究对象：购买香氛产品（香薰/香水/无火香薰）的消费者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核心问题/变量：香氛消费动机（情绪疗愈/氛围感）、无火香薰流行、价格带与复购、香调偏好（木质/花香）、节日礼赠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H1：香氛消费动机（情绪疗愈/氛围感）、无火香薰流行显著影响节日礼赠（待验证）；H2：不同人群（年龄/收入/城市等级）在上述关系中存在调节作用（待验证）。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🔶香氛产品安全规范（市场监管总局）；🔶香氛市场规模（须下载核验）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香氛品牌/门店问卷+消费者访谈；获奖黑名单核对：近三年无香氛消费获奖题（区别于549香薰体验泛题，聚焦香氛品类）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🔶香氛产品安全规范（市场监管总局）；🔶香氛市场规模（须下载核验）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