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204. “一个人的精致”——独居青年小份化、一人用消费研究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研究对象：独居/单身居住的 20—40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核心问题/变量：小份包装/迷你家电购买、一人食（复用177）、独居悦己支出、孤独感与消费补偿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H1：小份包装/迷你家电购买、一人食（复用177）显著影响孤独感与消费补偿（待验证）；H2：不同人群（年龄/收入/城市等级）在上述关系中存在调节作用（待验证）。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✅2026年十大消费趋势"情绪价值"排第一（行业🔶）；✅即时零售分钟级配送与深度体验并存（独居典型消费特征）；✅一人食33%消费者专门消费（新潮传媒）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单身公寓/独居社群渠道；与177题（一人食餐饮）区分：聚焦商品化消费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✅2026年十大消费趋势"情绪价值"排第一（行业🔶）；✅即时零售分钟级配送与深度体验并存（独居典型消费特征）；✅一人食33%消费者专门消费（新潮传媒）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