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205. “男颜经济，精致先生”——男性悦己、颜值消费（护肤、美妆、穿搭）行为研究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研究对象：18—40岁有颜值消费的男性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核心问题/变量：品类偏好（护肤/香水/医美轻项目）、消费动机、月均支出、品牌信任、消费观念转变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H1：品类偏好（护肤/香水/医美轻项目）、消费动机显著影响消费观念转变（待验证）；H2：不同人群（年龄/收入/城市等级）在上述关系中存在调节作用（待验证）。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🔶男性美妆消费增速快（美妆行业报告需核验）；✅悦己消费趋势（消费升级背景）；✅"他经济"媒体讨论（需引原文）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男性美妆社群/数码男生护肤渠道；选题差异于女性向谷子/三坑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🔶男性美妆消费增速快（美妆行业报告需核验）；✅悦己消费趋势（消费升级背景）；✅"他经济"媒体讨论（需引原文）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