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256. “国货美妆，当打之年”——国货美妆消费行为与品牌选择研究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研究对象：购买过国货美妆（珀莱雅/毛戈平/花西子等）的消费者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核心问题/变量：国货vs外资偏好、价格敏感、成分信任、回购、渠道（线上/CS店）、国潮认同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H1：国货vs外资偏好、价格敏感显著影响国潮认同（待验证）；H2：不同人群（年龄/收入/城市等级）在上述关系中存在调节作用（待验证）。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✅2025年化妆品全渠道交易额首次破1.1万亿元、国货份额57.37%；✅2026上半年美妆市场5189.1亿元（+4.6%）、线上TOP20国货占65%、抖音贡献80%净增；✅毛戈平上半年收入32.67亿元（+26.2%）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美妆社群/校园渠道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✅2025年化妆品全渠道交易额首次破1.1万亿元、国货份额57.37%；✅2026上半年美妆市场5189.1亿元（+4.6%）、线上TOP20国货占65%、抖音贡献80%净增；✅毛戈平上半年收入32.67亿元（+26.2%）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