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257. “成分党，读配料表”——功效护肤、“成分党”消费行为研究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研究对象：关注成分的功效护肤消费者（18—40岁）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核心问题/变量：成分知识（烟酰胺/玻色因/A醇）、决策依据、KOL影响、试错成本、溢价接受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H1：成分知识（烟酰胺/玻色因/A醇）、决策依据显著影响溢价接受（待验证）；H2：不同人群（年龄/收入/城市等级）在上述关系中存在调节作用（待验证）。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✅68%消费者愿为"清洁标签"付溢价（第五六轮证据）；🔶功效护肤市场规模（行业报告需核验）；✅国货功效护肤打破溢价壁垒（美妆趋势）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美妆测评社群渠道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✅68%消费者愿为"清洁标签"付溢价（第五六轮证据）；🔶功效护肤市场规模（行业报告需核验）；✅国货功效护肤打破溢价壁垒（美妆趋势）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